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Внедрение проекта «Вызов»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8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федеральной программы «Дети в семье» 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работе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3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ГКУ СО «Тольяттинский социальный приют «Дельфин»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6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рамках расширения стратегической программы 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«Дети в семье»,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по поручению Президента Российской Федерации,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Самарская область вошла в число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 регионов страны,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участ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ьного проекта «Вызов».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ГКУ СО «Тольяттинский социальный приют «Дельфин» с 21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апреля 2025 года начала функционировать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служба «Дети в семье».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процессе реализации региональной программы по профилактике и снижению уровня социального сиротства в Самарской области на 2025-2026г.г. основной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адачей нашей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службы является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предоставление комплексной помощи семьям с детьми ока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авшихся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кризисной ситуации.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Специалисты приюта работают над возвращением детей в родные семьи, проводят коррекционно-реабилитационную работу с родителями, а также стремятся укрепить детско-родительские отношения и семейные ценности.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2-3 декабря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2024 года руководители учреждения приняли участие в экспертно-практическом семинаре «Семейно-ориентированный подход в сети детских учреждений» в Москве, где они делились опытом и идеями в области семьесбережения. По итогам се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минара в учреждении состоялся круглый стол, где было принято решение продолжать внедрять семьесберегающий подход, оказывая помощь не только детям, но и их семьям.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эффективной работы службы «Дети в семье» была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разработана нормативная база, регламентирующая деятельность службы: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4"/>
        <w:numPr>
          <w:ilvl w:val="0"/>
          <w:numId w:val="14"/>
        </w:numPr>
        <w:contextualSpacing w:val="0"/>
        <w:ind w:right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Приказ о создании службы «Дети в семье» (№ 30-о от 21.04.2025);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4"/>
        <w:numPr>
          <w:ilvl w:val="0"/>
          <w:numId w:val="14"/>
        </w:numPr>
        <w:contextualSpacing w:val="0"/>
        <w:ind w:right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Положение «О службе «Дети в семье»;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4"/>
        <w:numPr>
          <w:ilvl w:val="0"/>
          <w:numId w:val="14"/>
        </w:numPr>
        <w:contextualSpacing w:val="0"/>
        <w:ind w:right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План работы службы на 2025 год;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4"/>
        <w:numPr>
          <w:ilvl w:val="0"/>
          <w:numId w:val="14"/>
        </w:numPr>
        <w:contextualSpacing w:val="0"/>
        <w:ind w:right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План работы по всеобучу для семей воспитанников, дети которых находятся в учреждении.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Проведен аналитический обзор семей,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дети которых находятся в учреждении,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целью определения перспектив их возвращения домой.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Особое внимание уделяется семьям, находящимся в списке «перспективных случаев», что уже привело к активизации работы по 26 детям из 17 семей.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За время функционирования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службы «Дети в семье»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в учреждении отмечается положительная динамика по основным показателям в сфере социального сиротства – численность детей-сирот и детей, оставшихся без попечения родителей возвратившихся в родные и опекаемые семьи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выросла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Социальный педагог ведет банк данных (реестр) семей и детей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, находящихся на сопровождении службы «Дети в семье».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Все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семьи проанализированы на заседаниях консилиума учреждения.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Сложные случаи рассмотрены на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межведомственных городских (5 семей, 5 детей) и региональных (7 семей, 8 детей) консилиумах.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Заседания межведомственных консилиумов осуществлялось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присутствии министра социально-демографической и семейной политики Самарской области Щербицкой О.В., уполномоченного по правам ребенка в регионе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Николаевой Ю.В., советника Губернатора по профилактике социального сиротства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Сеницкой Е.Б., а также специалистов всех заинтересованных служб и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ведомств.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По итогам таких встреч  скорректирован стратегический план взаимодействия всех межведомственных служб.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2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Регулярно проводятся мероприятия, направленные на содействие временной передаче детей, а также консультации для родителей и родственников, желающих воссоединиться с детьми.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</w:rPr>
        <w:t xml:space="preserve">Оказывается консультативная, психологическая, педагогич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</w:rPr>
        <w:t xml:space="preserve">еская, юридическая, социальная помощь, содействие в получении образования и жизнеустройстве, защите прав и законных интересов детей в государственных органах и органах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местного самоуправления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Социальный педагог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учреждения прошел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обучение по «Технологии работы со случаем в работе с семьями, находящимися в трудной жизненной ситуации».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Эта технология является ключевым инструментом в проекте профилактики социального сиротства, направленным на сохранение или оперативное восстановление для ребенка возможности проживания в семье, в первую очередь – кровной, даже в условиях трудных жизненных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обстоятельств.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пециалисты учреждения активно повышают свою квалификацию, чтобы максимально эффективно помогать семьям, оказавшимся в сложной жизненной ситуации. Особое внимание уделяется практике «Работа со случаем», которая помогает сохранить или восстановить для ребенк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возможность жить в родной семье, даже если обстоятельства складываются неблагоприятно.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sz w:val="28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ля обмена опытом и внедрения лучших практик регулярно проводятся стратегические сессии с сотрудниками. Педагоги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специалисты проходят обучение на различных курсах, семинарах и практикумах. Среди них: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864"/>
        <w:numPr>
          <w:ilvl w:val="0"/>
          <w:numId w:val="15"/>
        </w:numPr>
        <w:contextualSpacing w:val="0"/>
        <w:ind w:right="0"/>
        <w:jc w:val="both"/>
        <w:spacing w:before="0" w:after="0" w:line="276" w:lineRule="auto"/>
        <w:rPr>
          <w:sz w:val="28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Тренинги по работе с семьями, где родители сталкиваются с алкогольной зависимостью.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864"/>
        <w:numPr>
          <w:ilvl w:val="0"/>
          <w:numId w:val="15"/>
        </w:numPr>
        <w:contextualSpacing w:val="0"/>
        <w:ind w:right="0"/>
        <w:jc w:val="both"/>
        <w:spacing w:before="0" w:after="0" w:line="276" w:lineRule="auto"/>
        <w:rPr>
          <w:sz w:val="28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Вебинары и методические семинары по супервизорскому сопровождению специалистов.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864"/>
        <w:numPr>
          <w:ilvl w:val="0"/>
          <w:numId w:val="15"/>
        </w:numPr>
        <w:contextualSpacing w:val="0"/>
        <w:ind w:right="0"/>
        <w:jc w:val="both"/>
        <w:spacing w:before="0" w:after="0" w:line="276" w:lineRule="auto"/>
        <w:rPr>
          <w:sz w:val="28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Участие в крупных конференциях и форумах, посвященных поддержке семьи и детей, таких как «Семья на первом месте» и «Жить вместе» (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14.05.2025-15.05.2025)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864"/>
        <w:numPr>
          <w:ilvl w:val="0"/>
          <w:numId w:val="15"/>
        </w:numPr>
        <w:contextualSpacing w:val="0"/>
        <w:ind w:right="0"/>
        <w:jc w:val="both"/>
        <w:spacing w:before="0" w:after="0" w:line="276" w:lineRule="auto"/>
        <w:rPr>
          <w:sz w:val="28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Видеоконференции, направленные на реализацию права детей воспитываться в родной семье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«Реализация права детей жить и воспитываться в родной семье в деятельности государственных (муниципальных учреждений стационарного типа в сфере семьи и детства» (16.09.2025)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864"/>
        <w:numPr>
          <w:ilvl w:val="0"/>
          <w:numId w:val="15"/>
        </w:numPr>
        <w:contextualSpacing w:val="0"/>
        <w:ind w:right="0"/>
        <w:jc w:val="both"/>
        <w:spacing w:before="0" w:after="0" w:line="276" w:lineRule="auto"/>
        <w:rPr>
          <w:sz w:val="28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Федеральные супервизии в рамках проекта «Дети в семье», где разбираются наиболее сложные случаи.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864"/>
        <w:numPr>
          <w:ilvl w:val="0"/>
          <w:numId w:val="15"/>
        </w:numPr>
        <w:contextualSpacing w:val="0"/>
        <w:ind w:right="0"/>
        <w:jc w:val="both"/>
        <w:spacing w:before="0" w:after="0" w:line="276" w:lineRule="auto"/>
        <w:rPr>
          <w:sz w:val="28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Мониторинг внедрения технологии «Работа со случаем».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864"/>
        <w:numPr>
          <w:ilvl w:val="0"/>
          <w:numId w:val="15"/>
        </w:numPr>
        <w:contextualSpacing w:val="0"/>
        <w:ind w:right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Муниципальные стратегические сессии «Семья на первом месте» (25.06.2025).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4"/>
        <w:numPr>
          <w:ilvl w:val="0"/>
          <w:numId w:val="15"/>
        </w:numPr>
        <w:contextualSpacing w:val="0"/>
        <w:ind w:right="0"/>
        <w:jc w:val="both"/>
        <w:spacing w:before="0" w:after="0" w:line="276" w:lineRule="auto"/>
        <w:rPr>
          <w:sz w:val="28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Семинары-тренинги по профессиональному сопровождению специалистов, помогающих семьям преодолевать кризисы.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Кроме того, для родителей организован «Клуб поддержки», где они могут получить психологическую и педагогическую помощь, укрепить семейные ценности и сформировать позитивное представление о семье.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Разработаны специальные программы и материалы, призванные помочь детям вернуться в кровную или замещающую семью, такие как модульные программы «Я все смогу», «Мы вместе», «Дорога домой». Также созданы социальные карты воспитанника и мотивационные буклеты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советами по поддержке, преодолению страхов и фокусировке на ребенке и будущем.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Информация о деятельности службы «Дети в семье» регулярно публикуется на сайте учреждения и в социальной сети ВКонтакте, где разработан контент-план для систематического информирования общественности.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Результаты работы службы «Дети в семье» за 2025 год впечатляют: 39 воспитанников вернулись в родные, опекаемые или приемные семьи, что свидетельствует об эффективности применяемых подходов и усилий специалистов.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ind w:left="709" w:firstLine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63"/>
        <w:ind w:left="709" w:firstLine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63"/>
        <w:ind w:left="709" w:firstLine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63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Заместитель директора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63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 социально-воспитательной работе                                     Подлесных Л.В.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0"/>
    <w:next w:val="860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0"/>
    <w:next w:val="860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No Spacing"/>
    <w:basedOn w:val="860"/>
    <w:uiPriority w:val="1"/>
    <w:qFormat/>
    <w:pPr>
      <w:spacing w:after="0" w:line="240" w:lineRule="auto"/>
    </w:pPr>
  </w:style>
  <w:style w:type="paragraph" w:styleId="864">
    <w:name w:val="List Paragraph"/>
    <w:basedOn w:val="860"/>
    <w:uiPriority w:val="34"/>
    <w:qFormat/>
    <w:pPr>
      <w:contextualSpacing/>
      <w:ind w:left="720"/>
    </w:pPr>
  </w:style>
  <w:style w:type="character" w:styleId="865" w:default="1">
    <w:name w:val="Default Paragraph Font"/>
    <w:uiPriority w:val="1"/>
    <w:semiHidden/>
    <w:unhideWhenUsed/>
  </w:style>
  <w:style w:type="paragraph" w:styleId="866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Лариса Владимировна</cp:lastModifiedBy>
  <cp:revision>7</cp:revision>
  <dcterms:modified xsi:type="dcterms:W3CDTF">2026-01-12T10:28:06Z</dcterms:modified>
</cp:coreProperties>
</file>